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77E21116"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B85F79">
        <w:rPr>
          <w:b/>
          <w:iCs/>
          <w:noProof/>
          <w:sz w:val="28"/>
        </w:rPr>
        <w:t>4997</w:t>
      </w:r>
      <w:r w:rsidRPr="002A61F5">
        <w:rPr>
          <w:b/>
          <w:iCs/>
          <w:noProof/>
          <w:sz w:val="28"/>
        </w:rPr>
        <w:fldChar w:fldCharType="end"/>
      </w:r>
    </w:p>
    <w:p w14:paraId="40CE3B46" w14:textId="6C6913D0" w:rsidR="004E0C36" w:rsidRDefault="002864C1" w:rsidP="004E0C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4E0C36">
        <w:rPr>
          <w:b/>
          <w:noProof/>
          <w:color w:val="3333FF"/>
        </w:rPr>
        <w:t>(revision of S2-210</w:t>
      </w:r>
      <w:r w:rsidR="00B85F79">
        <w:rPr>
          <w:b/>
          <w:noProof/>
          <w:color w:val="3333FF"/>
        </w:rPr>
        <w:t>3894r01</w:t>
      </w:r>
      <w:r w:rsidR="004E0C3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55711B47" w:rsidR="004E0C36" w:rsidRPr="00410371" w:rsidRDefault="00390176" w:rsidP="00D91350">
            <w:pPr>
              <w:pStyle w:val="CRCoverPage"/>
              <w:spacing w:after="0"/>
              <w:rPr>
                <w:noProof/>
              </w:rPr>
            </w:pPr>
            <w:r>
              <w:rPr>
                <w:b/>
                <w:noProof/>
                <w:sz w:val="28"/>
              </w:rPr>
              <w:t>2</w:t>
            </w:r>
            <w:r w:rsidR="00B85F79">
              <w:rPr>
                <w:b/>
                <w:noProof/>
                <w:sz w:val="28"/>
              </w:rPr>
              <w:t>7</w:t>
            </w:r>
            <w:r>
              <w:rPr>
                <w:b/>
                <w:noProof/>
                <w:sz w:val="28"/>
              </w:rPr>
              <w:t>45</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0F321D7C" w:rsidR="004E0C36" w:rsidRPr="00410371" w:rsidRDefault="00B85F79" w:rsidP="00D91350">
            <w:pPr>
              <w:pStyle w:val="CRCoverPage"/>
              <w:spacing w:after="0"/>
              <w:jc w:val="center"/>
              <w:rPr>
                <w:b/>
                <w:noProof/>
              </w:rPr>
            </w:pPr>
            <w:r>
              <w:rPr>
                <w:b/>
                <w:noProof/>
                <w:sz w:val="28"/>
              </w:rPr>
              <w:t>1</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45CDE883"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E00AB">
              <w:rPr>
                <w:b/>
                <w:noProof/>
                <w:sz w:val="28"/>
              </w:rPr>
              <w:t>7</w:t>
            </w:r>
            <w:r>
              <w:rPr>
                <w:b/>
                <w:noProof/>
                <w:sz w:val="28"/>
              </w:rPr>
              <w:t>.</w:t>
            </w:r>
            <w:r w:rsidR="003E00AB">
              <w:rPr>
                <w:b/>
                <w:noProof/>
                <w:sz w:val="28"/>
              </w:rPr>
              <w:t>0</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3001CADE" w:rsidR="004E0C36" w:rsidRDefault="0051592F" w:rsidP="00D91350">
            <w:pPr>
              <w:pStyle w:val="CRCoverPage"/>
              <w:spacing w:after="0"/>
              <w:ind w:left="100"/>
              <w:rPr>
                <w:noProof/>
              </w:rPr>
            </w:pPr>
            <w:r>
              <w:rPr>
                <w:noProof/>
              </w:rPr>
              <w:t>Group event clarification and event transfer between AMFs</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456E8194" w:rsidR="004E0C36" w:rsidRDefault="004E0C36" w:rsidP="00D91350">
            <w:pPr>
              <w:pStyle w:val="CRCoverPage"/>
              <w:spacing w:after="0"/>
              <w:ind w:left="100"/>
              <w:rPr>
                <w:noProof/>
              </w:rPr>
            </w:pPr>
            <w:r w:rsidRPr="00F91227">
              <w:rPr>
                <w:noProof/>
              </w:rPr>
              <w:t>Ericsson</w:t>
            </w:r>
            <w:r w:rsidR="001F7605">
              <w:rPr>
                <w:noProof/>
              </w:rPr>
              <w:t>,</w:t>
            </w:r>
            <w:r w:rsidR="001F7605" w:rsidRPr="00B86291">
              <w:rPr>
                <w:noProof/>
                <w:lang w:val="fi-FI"/>
              </w:rPr>
              <w:t xml:space="preserve"> </w:t>
            </w:r>
            <w:r w:rsidR="001F7605" w:rsidRPr="00B86291">
              <w:rPr>
                <w:noProof/>
                <w:lang w:val="fi-FI"/>
              </w:rPr>
              <w:t>Nokia, Nokia Shanghai B</w:t>
            </w:r>
            <w:r w:rsidR="001F7605">
              <w:rPr>
                <w:noProof/>
                <w:lang w:val="fi-FI"/>
              </w:rPr>
              <w:t>ell</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497B4FCD" w:rsidR="004E0C36" w:rsidRDefault="00380987" w:rsidP="00D91350">
            <w:pPr>
              <w:pStyle w:val="CRCoverPage"/>
              <w:spacing w:after="0"/>
              <w:ind w:left="100"/>
              <w:rPr>
                <w:noProof/>
              </w:rPr>
            </w:pPr>
            <w:r>
              <w:rPr>
                <w:rFonts w:eastAsia="Batang" w:cs="Arial"/>
                <w:bCs/>
                <w:sz w:val="18"/>
                <w:szCs w:val="18"/>
                <w:lang w:val="en-US" w:eastAsia="ar-SA"/>
              </w:rPr>
              <w:t>5GS_Ph1</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1C1C127D" w:rsidR="004E0C36" w:rsidRDefault="003E00AB" w:rsidP="00D91350">
            <w:pPr>
              <w:pStyle w:val="CRCoverPage"/>
              <w:spacing w:after="0"/>
              <w:ind w:left="100" w:right="-609"/>
              <w:rPr>
                <w:b/>
                <w:noProof/>
              </w:rPr>
            </w:pPr>
            <w:r>
              <w:rPr>
                <w:b/>
                <w:noProof/>
              </w:rPr>
              <w:t>A</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321A25D5" w:rsidR="004E0C36" w:rsidRDefault="005E7C9C" w:rsidP="00D91350">
            <w:pPr>
              <w:pStyle w:val="CRCoverPage"/>
              <w:spacing w:after="0"/>
              <w:ind w:left="100"/>
              <w:rPr>
                <w:noProof/>
              </w:rPr>
            </w:pPr>
            <w:r>
              <w:rPr>
                <w:noProof/>
              </w:rPr>
              <w:t>Rel-</w:t>
            </w:r>
            <w:r w:rsidR="003E00AB">
              <w:rPr>
                <w:noProof/>
              </w:rPr>
              <w:t>17</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592355" w14:textId="29664E22" w:rsidR="004E0C36" w:rsidRPr="00766F5C" w:rsidRDefault="005E7C9C" w:rsidP="005E7C9C">
            <w:pPr>
              <w:pStyle w:val="B1"/>
              <w:spacing w:before="60" w:after="0"/>
              <w:ind w:left="0" w:firstLine="0"/>
              <w:rPr>
                <w:rFonts w:ascii="Arial" w:hAnsi="Arial" w:cs="Arial"/>
                <w:bCs/>
              </w:rPr>
            </w:pPr>
            <w:r>
              <w:rPr>
                <w:rFonts w:ascii="Arial" w:hAnsi="Arial" w:cs="Arial"/>
                <w:bCs/>
              </w:rPr>
              <w:t>SA2 provided clarification in LS S2-2103229 to CT4 in SA2144E meeting after discussion. However, the SA2 specification is not very clear on some of points.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7D032D" w14:textId="77777777" w:rsidR="004E0C36" w:rsidRDefault="005E7C9C" w:rsidP="004E0C36">
            <w:pPr>
              <w:pStyle w:val="CRCoverPage"/>
              <w:spacing w:after="0"/>
              <w:rPr>
                <w:noProof/>
              </w:rPr>
            </w:pPr>
            <w:r>
              <w:rPr>
                <w:noProof/>
              </w:rPr>
              <w:t xml:space="preserve">Clarify that </w:t>
            </w:r>
            <w:r w:rsidR="00C84F12">
              <w:rPr>
                <w:noProof/>
              </w:rPr>
              <w:t>group event subscription applies to all UEs with subscription includes the ones register to the network after group event subscription.</w:t>
            </w:r>
          </w:p>
          <w:p w14:paraId="64A756D3" w14:textId="77777777" w:rsidR="00C84F12" w:rsidRDefault="00C84F12" w:rsidP="004E0C36">
            <w:pPr>
              <w:pStyle w:val="CRCoverPage"/>
              <w:spacing w:after="0"/>
              <w:rPr>
                <w:noProof/>
              </w:rPr>
            </w:pPr>
          </w:p>
          <w:p w14:paraId="0FF88EC9" w14:textId="078CFD4B" w:rsidR="00C84F12" w:rsidRDefault="00C84F12" w:rsidP="004E0C36">
            <w:pPr>
              <w:pStyle w:val="CRCoverPage"/>
              <w:spacing w:after="0"/>
              <w:rPr>
                <w:noProof/>
              </w:rPr>
            </w:pPr>
            <w:r>
              <w:rPr>
                <w:noProof/>
              </w:rPr>
              <w:t>Clarify that during UE mobility with AMF change, the source AMF includes remaining reporting information and event subscription information, even in case the event for the specific UE is finished, for target AMF to distinguish If the UE also part of the group event subscription.</w:t>
            </w:r>
          </w:p>
          <w:p w14:paraId="46DDD00E" w14:textId="77777777" w:rsidR="00B85F79" w:rsidRDefault="00B85F79" w:rsidP="004E0C36">
            <w:pPr>
              <w:pStyle w:val="CRCoverPage"/>
              <w:spacing w:after="0"/>
              <w:rPr>
                <w:noProof/>
              </w:rPr>
            </w:pPr>
          </w:p>
          <w:p w14:paraId="4950E0DE" w14:textId="4D8A6E1D" w:rsidR="00B85F79" w:rsidRDefault="00B85F79" w:rsidP="004E0C36">
            <w:pPr>
              <w:pStyle w:val="CRCoverPage"/>
              <w:spacing w:after="0"/>
              <w:rPr>
                <w:noProof/>
              </w:rPr>
            </w:pPr>
            <w:r>
              <w:rPr>
                <w:noProof/>
              </w:rPr>
              <w:t>It is also clarified that the UDM stores the received and authorised monitoring event irrespective of the target UE's registration state. If the target UE registers later on, the event is configured along with the subscriber data in the serving AMF.</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46839090" w:rsidR="004E0C36" w:rsidRDefault="00C84F12" w:rsidP="004E0C36">
            <w:pPr>
              <w:pStyle w:val="CRCoverPage"/>
              <w:spacing w:after="0"/>
              <w:rPr>
                <w:noProof/>
              </w:rPr>
            </w:pPr>
            <w:r>
              <w:rPr>
                <w:noProof/>
              </w:rPr>
              <w:t>No clear description on the application of the group event subscription which can lead do disfunctional group event handling in the system</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76093E8" w:rsidR="004E0C36" w:rsidRDefault="00C84F12" w:rsidP="00D91350">
            <w:pPr>
              <w:pStyle w:val="CRCoverPage"/>
              <w:spacing w:after="0"/>
              <w:rPr>
                <w:noProof/>
              </w:rPr>
            </w:pPr>
            <w:r>
              <w:rPr>
                <w:noProof/>
              </w:rPr>
              <w:t>4.15.3.2.2, 4.15.3.2.3,</w:t>
            </w:r>
            <w:r w:rsidR="00F87BFB">
              <w:rPr>
                <w:noProof/>
              </w:rPr>
              <w:t xml:space="preserve"> 4.15.</w:t>
            </w:r>
            <w:r w:rsidR="005D6D63">
              <w:rPr>
                <w:noProof/>
              </w:rPr>
              <w:t>4.2</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629E2B4" w14:textId="77777777" w:rsidR="009C6538" w:rsidRDefault="009C6538" w:rsidP="009C6538">
      <w:pPr>
        <w:pStyle w:val="Heading5"/>
        <w:rPr>
          <w:rFonts w:eastAsia="SimSun"/>
        </w:rPr>
      </w:pPr>
      <w:bookmarkStart w:id="1" w:name="_Toc20204197"/>
      <w:bookmarkStart w:id="2" w:name="_Toc27894886"/>
      <w:bookmarkStart w:id="3" w:name="_Toc36191964"/>
      <w:bookmarkStart w:id="4" w:name="_Toc45193054"/>
      <w:bookmarkStart w:id="5" w:name="_Toc47592686"/>
      <w:bookmarkStart w:id="6" w:name="_Toc51834773"/>
      <w:bookmarkStart w:id="7" w:name="_Toc68061965"/>
      <w:bookmarkStart w:id="8" w:name="_Toc11145841"/>
      <w:bookmarkStart w:id="9" w:name="_Toc20204198"/>
      <w:bookmarkStart w:id="10" w:name="_Toc27894887"/>
      <w:bookmarkStart w:id="11" w:name="_Toc36191965"/>
      <w:bookmarkStart w:id="12" w:name="_Toc45193055"/>
      <w:bookmarkStart w:id="13" w:name="_Toc47592687"/>
      <w:bookmarkStart w:id="14" w:name="_Toc51834774"/>
      <w:bookmarkStart w:id="15" w:name="_Toc59100600"/>
      <w:r>
        <w:rPr>
          <w:rFonts w:eastAsia="SimSun"/>
        </w:rPr>
        <w:lastRenderedPageBreak/>
        <w:t>4.15.3.2.2</w:t>
      </w:r>
      <w:r>
        <w:rPr>
          <w:rFonts w:eastAsia="SimSun"/>
        </w:rPr>
        <w:tab/>
        <w:t>UDM service operations information flow</w:t>
      </w:r>
      <w:bookmarkEnd w:id="1"/>
      <w:bookmarkEnd w:id="2"/>
      <w:bookmarkEnd w:id="3"/>
      <w:bookmarkEnd w:id="4"/>
      <w:bookmarkEnd w:id="5"/>
      <w:bookmarkEnd w:id="6"/>
      <w:bookmarkEnd w:id="7"/>
    </w:p>
    <w:p w14:paraId="2FEAE969" w14:textId="77777777" w:rsidR="009C6538" w:rsidRDefault="009C6538" w:rsidP="009C6538">
      <w:pPr>
        <w:rPr>
          <w:lang w:eastAsia="zh-CN"/>
        </w:rPr>
      </w:pPr>
      <w:r>
        <w:rPr>
          <w:lang w:eastAsia="zh-CN"/>
        </w:rPr>
        <w:t xml:space="preserve">The procedure is used by the NEF to subscribe to notifications and to explicitly cancel a previous subscription.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620928B3" w14:textId="77777777" w:rsidR="009C6538" w:rsidRDefault="009C6538" w:rsidP="009C6538">
      <w:pPr>
        <w:pStyle w:val="TH"/>
        <w:rPr>
          <w:rFonts w:eastAsia="SimSun"/>
        </w:rPr>
      </w:pPr>
      <w:r>
        <w:rPr>
          <w:lang w:eastAsia="zh-CN"/>
        </w:rPr>
        <w:object w:dxaOrig="7620" w:dyaOrig="5892" w14:anchorId="1C2DD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95.05pt" o:ole="">
            <v:imagedata r:id="rId12" o:title=""/>
          </v:shape>
          <o:OLEObject Type="Embed" ProgID="Visio.Drawing.15" ShapeID="_x0000_i1025" DrawAspect="Content" ObjectID="_1683144721" r:id="rId13"/>
        </w:object>
      </w:r>
    </w:p>
    <w:p w14:paraId="146B46C7" w14:textId="77777777" w:rsidR="009C6538" w:rsidRDefault="009C6538" w:rsidP="009C6538">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7286FB69" w14:textId="77777777" w:rsidR="009C6538" w:rsidRDefault="009C6538" w:rsidP="009C6538">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3F67D10C" w14:textId="77777777" w:rsidR="009C6538" w:rsidRDefault="009C6538" w:rsidP="009C6538">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0CCB9467" w14:textId="77777777" w:rsidR="009C6538" w:rsidRDefault="009C6538" w:rsidP="009C6538">
      <w:pPr>
        <w:pStyle w:val="B1"/>
        <w:rPr>
          <w:lang w:eastAsia="zh-CN"/>
        </w:rPr>
      </w:pPr>
      <w:r>
        <w:rPr>
          <w:lang w:eastAsia="zh-CN"/>
        </w:rPr>
        <w:tab/>
        <w:t>The subscription may include Maximum number of reports and/or Maximum duration of reporting IE and optionally MTC Provider Information.</w:t>
      </w:r>
    </w:p>
    <w:p w14:paraId="7908DB20" w14:textId="77777777" w:rsidR="009C6538" w:rsidRDefault="009C6538" w:rsidP="009C6538">
      <w:pPr>
        <w:pStyle w:val="B1"/>
        <w:rPr>
          <w:lang w:eastAsia="zh-CN"/>
        </w:rPr>
      </w:pPr>
      <w:r>
        <w:rPr>
          <w:lang w:eastAsia="zh-CN"/>
        </w:rPr>
        <w:t>2a.</w:t>
      </w:r>
      <w:r>
        <w:rPr>
          <w:lang w:eastAsia="zh-CN"/>
        </w:rPr>
        <w:tab/>
        <w:t xml:space="preserve">[Conditional] Some events (e.g. loss of connectivity),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63CB652A" w14:textId="5C0BD2DA" w:rsidR="009C6538" w:rsidRDefault="009C6538" w:rsidP="009C6538">
      <w:pPr>
        <w:pStyle w:val="B1"/>
        <w:rPr>
          <w:ins w:id="16" w:author="Ericsson_CQ_144e" w:date="2021-04-26T09:26:00Z"/>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w:t>
      </w:r>
      <w:ins w:id="17" w:author="Ericsson_145_rev" w:date="2021-05-21T23:12:00Z">
        <w:r w:rsidR="00B85F79" w:rsidRPr="00B85F79">
          <w:rPr>
            <w:lang w:eastAsia="zh-CN"/>
          </w:rPr>
          <w:t xml:space="preserve"> </w:t>
        </w:r>
        <w:r w:rsidR="00B85F79">
          <w:rPr>
            <w:lang w:eastAsia="zh-CN"/>
          </w:rPr>
          <w:t>The UDM stores the subscription even if the target UE or group member UE is not registered at the time of subscription.</w:t>
        </w:r>
      </w:ins>
    </w:p>
    <w:p w14:paraId="12304BA0" w14:textId="443F51C2" w:rsidR="00F87BFB" w:rsidRDefault="00B85F79" w:rsidP="00F87BFB">
      <w:pPr>
        <w:pStyle w:val="NO"/>
        <w:rPr>
          <w:lang w:eastAsia="zh-CN"/>
        </w:rPr>
      </w:pPr>
      <w:ins w:id="18" w:author="Ericsson_145_rev" w:date="2021-05-21T23:12:00Z">
        <w:r>
          <w:t>NOTE 1:</w:t>
        </w:r>
        <w:r>
          <w:tab/>
          <w:t>If the single target UE or group member UE , registers later on with an AMF which does not have event subscription or group event subscription(s) for that UE or UE group, then the UDM creates subscriptions to those event(s) with the AMF during the Registration procedure as specified in clause</w:t>
        </w:r>
        <w:r>
          <w:rPr>
            <w:lang w:eastAsia="zh-CN"/>
          </w:rPr>
          <w:t> </w:t>
        </w:r>
        <w:r>
          <w:t>4.2.2.2.2.</w:t>
        </w:r>
      </w:ins>
      <w:ins w:id="19" w:author="Ericsson_CQ_144e" w:date="2021-04-26T09:29:00Z">
        <w:r w:rsidR="00F87BFB">
          <w:t xml:space="preserve"> </w:t>
        </w:r>
      </w:ins>
    </w:p>
    <w:p w14:paraId="0CF4F6EB" w14:textId="77777777" w:rsidR="009C6538" w:rsidRDefault="009C6538" w:rsidP="009C6538">
      <w:pPr>
        <w:pStyle w:val="B1"/>
      </w:pPr>
      <w:r>
        <w:tab/>
        <w:t>If the subscription applies to a group of UE(s), the UDM shall include the same notification endpoint of itself, i.e. Notification Target Address (+ Notification Correlation Id), in the subscriptions to all UE's serving AMF(s).</w:t>
      </w:r>
    </w:p>
    <w:p w14:paraId="2CB1561C" w14:textId="0FD55A05" w:rsidR="009C6538" w:rsidRDefault="009C6538" w:rsidP="009C6538">
      <w:pPr>
        <w:pStyle w:val="NO"/>
        <w:rPr>
          <w:lang w:eastAsia="zh-CN"/>
        </w:rPr>
      </w:pPr>
      <w:r>
        <w:lastRenderedPageBreak/>
        <w:t>NOTE</w:t>
      </w:r>
      <w:ins w:id="20" w:author="Ericsson_CQ_144e" w:date="2021-04-26T09:26:00Z">
        <w:r w:rsidR="00F87BFB">
          <w:t xml:space="preserve"> 2</w:t>
        </w:r>
      </w:ins>
      <w:r>
        <w:t>:</w:t>
      </w:r>
      <w:r>
        <w:tab/>
        <w:t>The same notification endpoint of UDM is to help the AMF identify whether the subscription for the requested group event is same or not when a new group member UE is registered.</w:t>
      </w:r>
    </w:p>
    <w:p w14:paraId="2A41479D" w14:textId="77777777" w:rsidR="009C6538" w:rsidRDefault="009C6538" w:rsidP="009C6538">
      <w:pPr>
        <w:pStyle w:val="B1"/>
        <w:rPr>
          <w:lang w:eastAsia="zh-CN"/>
        </w:rPr>
      </w:pPr>
      <w:r>
        <w:rPr>
          <w:lang w:eastAsia="zh-CN"/>
        </w:rPr>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25652AE7" w14:textId="77777777" w:rsidR="009C6538" w:rsidRDefault="009C6538" w:rsidP="009C6538">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352BA3BB" w14:textId="00791757" w:rsidR="009C6538" w:rsidRDefault="009C6538" w:rsidP="009C6538">
      <w:pPr>
        <w:pStyle w:val="B1"/>
        <w:rPr>
          <w:lang w:eastAsia="zh-CN"/>
        </w:rPr>
      </w:pPr>
      <w:r>
        <w:rPr>
          <w:lang w:eastAsia="zh-CN"/>
        </w:rPr>
        <w:tab/>
        <w:t>If the subscription is applicable to a group of UE(s) and the Maximum number of reports is included in the Event Report information in step 1, the Number of UEs</w:t>
      </w:r>
      <w:ins w:id="21" w:author="Ericsson_CQ_144e" w:date="2021-04-26T09:20:00Z">
        <w:r w:rsidR="00F87BFB">
          <w:rPr>
            <w:lang w:eastAsia="zh-CN"/>
          </w:rPr>
          <w:t xml:space="preserve"> (</w:t>
        </w:r>
      </w:ins>
      <w:ins w:id="22" w:author="Ericsson_CQ_144e" w:date="2021-04-26T09:21:00Z">
        <w:r w:rsidR="00F87BFB">
          <w:rPr>
            <w:lang w:eastAsia="zh-CN"/>
          </w:rPr>
          <w:t xml:space="preserve">including </w:t>
        </w:r>
      </w:ins>
      <w:ins w:id="23" w:author="Ericsson_145_rev" w:date="2021-05-21T23:13:00Z">
        <w:r w:rsidR="00B85F79">
          <w:rPr>
            <w:lang w:eastAsia="zh-CN"/>
          </w:rPr>
          <w:t>all group member UEs irrespective of their registration state</w:t>
        </w:r>
      </w:ins>
      <w:ins w:id="24" w:author="Ericsson_CQ_144e" w:date="2021-04-26T09:20:00Z">
        <w:r w:rsidR="00F87BFB">
          <w:rPr>
            <w:lang w:eastAsia="zh-CN"/>
          </w:rPr>
          <w:t>)</w:t>
        </w:r>
      </w:ins>
      <w:r>
        <w:rPr>
          <w:lang w:eastAsia="zh-CN"/>
        </w:rPr>
        <w:t xml:space="preserve"> within this group is included in the acknowledgement.</w:t>
      </w:r>
    </w:p>
    <w:p w14:paraId="6634FF2B" w14:textId="77777777" w:rsidR="009C6538" w:rsidRDefault="009C6538" w:rsidP="009C6538">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1A2E0458" w14:textId="77777777" w:rsidR="009C6538" w:rsidRDefault="009C6538" w:rsidP="009C6538">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726950C6" w14:textId="77777777" w:rsidR="009C6538" w:rsidRDefault="009C6538" w:rsidP="009C6538">
      <w:pPr>
        <w:pStyle w:val="B1"/>
        <w:rPr>
          <w:rFonts w:eastAsia="SimSun"/>
        </w:rPr>
      </w:pPr>
      <w:r>
        <w:rPr>
          <w:rFonts w:eastAsia="SimSun"/>
        </w:rPr>
        <w:tab/>
        <w:t>If the AMF has a maximum number of reports stored for the UE, the AMF shall decrease its value by one for the reported event.</w:t>
      </w:r>
    </w:p>
    <w:p w14:paraId="4D4CAD98" w14:textId="77777777" w:rsidR="009C6538" w:rsidRDefault="009C6538" w:rsidP="009C6538">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11AC8F31" w14:textId="39DDB8DB" w:rsidR="009C6538" w:rsidRDefault="009C6538" w:rsidP="009C6538">
      <w:pPr>
        <w:pStyle w:val="B1"/>
        <w:rPr>
          <w:ins w:id="25" w:author="Ericsson_CQ_144e" w:date="2021-04-26T09:32:00Z"/>
          <w:rFonts w:eastAsia="SimSun"/>
        </w:rPr>
      </w:pPr>
      <w:r>
        <w:rPr>
          <w:rFonts w:eastAsia="SimSun"/>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0A097803" w14:textId="7BAD49AE" w:rsidR="00155628" w:rsidRPr="00155628" w:rsidRDefault="00B85F79" w:rsidP="00155628">
      <w:pPr>
        <w:pStyle w:val="NO"/>
        <w:rPr>
          <w:lang w:eastAsia="zh-CN"/>
        </w:rPr>
      </w:pPr>
      <w:ins w:id="26" w:author="Ericsson_145_rev" w:date="2021-05-21T23:14:00Z">
        <w:r>
          <w:t>NOTE 3:</w:t>
        </w:r>
        <w:r>
          <w:tab/>
          <w:t>If an expiry time as specified in TS</w:t>
        </w:r>
        <w:r>
          <w:rPr>
            <w:lang w:eastAsia="zh-CN"/>
          </w:rPr>
          <w:t> </w:t>
        </w:r>
        <w:r>
          <w:t>29.518</w:t>
        </w:r>
        <w:r>
          <w:rPr>
            <w:lang w:eastAsia="zh-CN"/>
          </w:rPr>
          <w:t> </w:t>
        </w:r>
        <w:r>
          <w:t>[18] clause</w:t>
        </w:r>
        <w:r>
          <w:rPr>
            <w:lang w:eastAsia="zh-CN"/>
          </w:rPr>
          <w:t> </w:t>
        </w:r>
        <w:r>
          <w:t>6.2.6.2.6 is not included in the event subscription, then the life time of the event subscription needs to be controlled by other means as there is no time based cancellation at all even if any group member UEs fail to register.</w:t>
        </w:r>
      </w:ins>
    </w:p>
    <w:p w14:paraId="23FDFEA7" w14:textId="77777777" w:rsidR="009C6538" w:rsidRDefault="009C6538" w:rsidP="009C6538">
      <w:pPr>
        <w:pStyle w:val="B1"/>
        <w:rPr>
          <w:rFonts w:eastAsia="SimSun"/>
        </w:rPr>
      </w:pPr>
      <w:r>
        <w:rPr>
          <w:rFonts w:eastAsia="SimSun"/>
        </w:rPr>
        <w:tab/>
        <w:t>When the Maximum duration of reporting expires in the NEF, the UDM and the AMF, then each of these nodes shall locally unsubscribe the monitoring event.</w:t>
      </w:r>
    </w:p>
    <w:p w14:paraId="621F1AD1" w14:textId="77777777" w:rsidR="009C6538" w:rsidRDefault="009C6538" w:rsidP="009C6538">
      <w:pPr>
        <w:pStyle w:val="B1"/>
        <w:rPr>
          <w:rFonts w:eastAsia="SimSun"/>
        </w:rPr>
      </w:pPr>
      <w:r>
        <w:rPr>
          <w:rFonts w:eastAsia="SimSun"/>
        </w:rPr>
        <w:t>5.</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608CD092" w14:textId="13AF7E18" w:rsidR="00F22643" w:rsidRPr="00F22643" w:rsidRDefault="00F22643" w:rsidP="00F22643">
      <w:pPr>
        <w:rPr>
          <w:color w:val="FF0000"/>
          <w:sz w:val="36"/>
        </w:rPr>
      </w:pPr>
      <w:r w:rsidRPr="000F55FE">
        <w:rPr>
          <w:color w:val="FF0000"/>
          <w:sz w:val="36"/>
        </w:rPr>
        <w:t xml:space="preserve">************** </w:t>
      </w:r>
      <w:r>
        <w:rPr>
          <w:color w:val="FF0000"/>
          <w:sz w:val="36"/>
        </w:rPr>
        <w:t>Next C</w:t>
      </w:r>
      <w:r w:rsidRPr="000F55FE">
        <w:rPr>
          <w:color w:val="FF0000"/>
          <w:sz w:val="36"/>
        </w:rPr>
        <w:t>hange ***************</w:t>
      </w:r>
    </w:p>
    <w:p w14:paraId="184ACDAE" w14:textId="77777777" w:rsidR="009C6538" w:rsidRDefault="009C6538" w:rsidP="009C6538">
      <w:pPr>
        <w:pStyle w:val="Heading5"/>
        <w:rPr>
          <w:rFonts w:eastAsia="SimSun"/>
        </w:rPr>
      </w:pPr>
      <w:bookmarkStart w:id="27" w:name="_Toc68061966"/>
      <w:bookmarkEnd w:id="8"/>
      <w:bookmarkEnd w:id="9"/>
      <w:bookmarkEnd w:id="10"/>
      <w:bookmarkEnd w:id="11"/>
      <w:bookmarkEnd w:id="12"/>
      <w:bookmarkEnd w:id="13"/>
      <w:bookmarkEnd w:id="14"/>
      <w:bookmarkEnd w:id="15"/>
      <w:r>
        <w:rPr>
          <w:rFonts w:eastAsia="SimSun"/>
        </w:rPr>
        <w:t>4.15.3.2.3</w:t>
      </w:r>
      <w:r>
        <w:rPr>
          <w:rFonts w:eastAsia="SimSun"/>
        </w:rPr>
        <w:tab/>
        <w:t>NEF service operations information flow</w:t>
      </w:r>
      <w:bookmarkEnd w:id="27"/>
    </w:p>
    <w:p w14:paraId="08C14D2D" w14:textId="77777777" w:rsidR="009C6538" w:rsidRDefault="009C6538" w:rsidP="009C6538">
      <w:pPr>
        <w:rPr>
          <w:lang w:eastAsia="zh-CN"/>
        </w:rPr>
      </w:pPr>
      <w:r>
        <w:rPr>
          <w:lang w:eastAsia="zh-CN"/>
        </w:rPr>
        <w:t xml:space="preserve">The procedure is used by the AF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7ABA7D54" w14:textId="77777777" w:rsidR="009C6538" w:rsidRDefault="009C6538" w:rsidP="009C6538">
      <w:pPr>
        <w:pStyle w:val="TH"/>
        <w:rPr>
          <w:rFonts w:eastAsia="SimSun"/>
        </w:rPr>
      </w:pPr>
      <w:r>
        <w:object w:dxaOrig="9504" w:dyaOrig="8388" w14:anchorId="74E535B8">
          <v:shape id="_x0000_i1026" type="#_x0000_t75" style="width:475.05pt;height:419.3pt" o:ole="">
            <v:imagedata r:id="rId14" o:title=""/>
          </v:shape>
          <o:OLEObject Type="Embed" ProgID="Word.Picture.8" ShapeID="_x0000_i1026" DrawAspect="Content" ObjectID="_1683144722" r:id="rId15"/>
        </w:object>
      </w:r>
    </w:p>
    <w:p w14:paraId="5F66F261" w14:textId="77777777" w:rsidR="009C6538" w:rsidRDefault="009C6538" w:rsidP="009C6538">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0B6D5E9D" w14:textId="77777777" w:rsidR="009C6538" w:rsidRDefault="009C6538" w:rsidP="009C6538">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7DD36BAC" w14:textId="77777777" w:rsidR="009C6538" w:rsidRDefault="009C6538" w:rsidP="009C6538">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32D69FFE" w14:textId="77777777" w:rsidR="009C6538" w:rsidRDefault="009C6538" w:rsidP="009C6538">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maps the AF-Identifier into DNN and S-NSSAI combination based on local configuration, and include DNN, S-NSSAI in the request.</w:t>
      </w:r>
    </w:p>
    <w:p w14:paraId="6EC4AC83" w14:textId="77777777" w:rsidR="009C6538" w:rsidRDefault="009C6538" w:rsidP="009C6538">
      <w:pPr>
        <w:pStyle w:val="B1"/>
      </w:pPr>
      <w:r>
        <w:tab/>
        <w:t>If the reporting event subscription is authorized by the UDM, the UDM records the association of the event trigger and the requester identity. Otherwise, the UDM continues in step 4 indicating failure.</w:t>
      </w:r>
    </w:p>
    <w:p w14:paraId="0A1B043F" w14:textId="568765B4" w:rsidR="009C6538" w:rsidRDefault="009C6538" w:rsidP="009C6538">
      <w:pPr>
        <w:pStyle w:val="B1"/>
        <w:rPr>
          <w:ins w:id="28" w:author="Ericsson_CQ_144e" w:date="2021-04-26T09:44:00Z"/>
        </w:rPr>
      </w:pPr>
      <w:r>
        <w:t>3a.</w:t>
      </w:r>
      <w:r>
        <w:tab/>
        <w:t xml:space="preserve">[Conditional] If the requested event (e.g.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the all serving AMF(s) (if subscription applies to a UE or a group of UE(s)), or all the AMF in the same PLMN as the UDM (if subscription applies to any UE).</w:t>
      </w:r>
    </w:p>
    <w:p w14:paraId="23559457" w14:textId="4B792CE0" w:rsidR="004B4E32" w:rsidRDefault="008E79F5" w:rsidP="004B4E32">
      <w:pPr>
        <w:pStyle w:val="NO"/>
        <w:rPr>
          <w:lang w:eastAsia="zh-CN"/>
        </w:rPr>
      </w:pPr>
      <w:ins w:id="29" w:author="Ericsson_CQ" w:date="2021-05-09T21:35:00Z">
        <w:r>
          <w:lastRenderedPageBreak/>
          <w:t>NOTE 1:</w:t>
        </w:r>
        <w:r>
          <w:tab/>
          <w:t xml:space="preserve">If the UE, which is a member of a group, registers with an AMF which does not have group event subscription(s) for that group, then the UDM creates subscriptions to those event(s) with the AMF during </w:t>
        </w:r>
      </w:ins>
      <w:ins w:id="30" w:author="Huawei C First Monday" w:date="2021-05-17T17:04:00Z">
        <w:r w:rsidR="007823DE">
          <w:t xml:space="preserve">the Registration </w:t>
        </w:r>
      </w:ins>
      <w:ins w:id="31" w:author="Ericsson_CQ" w:date="2021-05-09T21:35:00Z">
        <w:r>
          <w:t>procedure in clause</w:t>
        </w:r>
      </w:ins>
      <w:ins w:id="32" w:author="Huawei C First Monday" w:date="2021-05-17T17:04:00Z">
        <w:r w:rsidR="007823DE">
          <w:rPr>
            <w:lang w:eastAsia="zh-CN"/>
          </w:rPr>
          <w:t> </w:t>
        </w:r>
      </w:ins>
      <w:ins w:id="33" w:author="Ericsson_CQ" w:date="2021-05-09T21:35:00Z">
        <w:r>
          <w:t>4.2.2.2.2.</w:t>
        </w:r>
      </w:ins>
    </w:p>
    <w:p w14:paraId="497E92AB" w14:textId="77777777" w:rsidR="009C6538" w:rsidRDefault="009C6538" w:rsidP="009C6538">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7CD834A" w14:textId="77777777" w:rsidR="009C6538" w:rsidRDefault="009C6538" w:rsidP="009C6538">
      <w:pPr>
        <w:pStyle w:val="B1"/>
      </w:pPr>
      <w:r>
        <w:tab/>
        <w:t>If the subscription applies to a group of UE(s), the UDM shall include the same notification endpoint of itself, i.e. Notification Target Address (+ Notification Correlation Id), in the subscriptions to all UE's serving AMF(s).</w:t>
      </w:r>
    </w:p>
    <w:p w14:paraId="42326734" w14:textId="0C7EAC18" w:rsidR="009C6538" w:rsidRDefault="009C6538" w:rsidP="009C6538">
      <w:pPr>
        <w:pStyle w:val="NO"/>
      </w:pPr>
      <w:r>
        <w:t>NOTE </w:t>
      </w:r>
      <w:del w:id="34" w:author="Ericsson_CQ_144e" w:date="2021-04-26T09:44:00Z">
        <w:r w:rsidDel="004B4E32">
          <w:delText>1</w:delText>
        </w:r>
      </w:del>
      <w:ins w:id="35" w:author="Ericsson_CQ_144e" w:date="2021-04-26T09:44:00Z">
        <w:r w:rsidR="004B4E32">
          <w:t>2</w:t>
        </w:r>
      </w:ins>
      <w:r>
        <w:t>:</w:t>
      </w:r>
      <w:r>
        <w:tab/>
        <w:t>The same notification endpoint of UDM is to help the AMF identify whether the subscription for the requested group event is same or not when a new group member UE is registered.</w:t>
      </w:r>
    </w:p>
    <w:p w14:paraId="22AE0E02" w14:textId="77777777" w:rsidR="009C6538" w:rsidRDefault="009C6538" w:rsidP="009C6538">
      <w:pPr>
        <w:pStyle w:val="B1"/>
      </w:pPr>
      <w:r>
        <w:t>3b.</w:t>
      </w:r>
      <w:r>
        <w:tab/>
        <w:t xml:space="preserve">[Conditional] AMF acknowledges the execution of </w:t>
      </w:r>
      <w:proofErr w:type="spellStart"/>
      <w:r>
        <w:t>Namf_EventExposure_Subscribe</w:t>
      </w:r>
      <w:proofErr w:type="spellEnd"/>
      <w:r>
        <w:t>.</w:t>
      </w:r>
    </w:p>
    <w:p w14:paraId="0A5C2D95" w14:textId="77777777" w:rsidR="009C6538" w:rsidRDefault="009C6538" w:rsidP="009C6538">
      <w:pPr>
        <w:pStyle w:val="B1"/>
      </w:pPr>
      <w:r>
        <w:t>3c.</w:t>
      </w:r>
      <w:r>
        <w:tab/>
        <w:t xml:space="preserve">[Conditional] If the requested event (e.g.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0D4D7237" w14:textId="150E3EE4" w:rsidR="009C6538" w:rsidRDefault="009C6538" w:rsidP="009C6538">
      <w:pPr>
        <w:pStyle w:val="NO"/>
      </w:pPr>
      <w:r>
        <w:t>NOTE </w:t>
      </w:r>
      <w:del w:id="36" w:author="Ericsson_CQ_144e" w:date="2021-04-26T09:49:00Z">
        <w:r w:rsidDel="004B4E32">
          <w:delText>2</w:delText>
        </w:r>
      </w:del>
      <w:ins w:id="37" w:author="Ericsson_CQ_144e" w:date="2021-04-26T09:49:00Z">
        <w:r w:rsidR="004B4E32">
          <w:t>3</w:t>
        </w:r>
      </w:ins>
      <w:r>
        <w:t>:</w:t>
      </w:r>
      <w:r>
        <w:tab/>
        <w:t>In the home routed case, the UDM sends the subscription to the V-SMF via the H-SMF.</w:t>
      </w:r>
    </w:p>
    <w:p w14:paraId="6F236D96" w14:textId="77777777" w:rsidR="009C6538" w:rsidRDefault="009C6538" w:rsidP="009C6538">
      <w:pPr>
        <w:pStyle w:val="B1"/>
      </w:pPr>
      <w:r>
        <w:t>3d.</w:t>
      </w:r>
      <w:r>
        <w:tab/>
        <w:t xml:space="preserve">[Conditional] The SMF acknowledges the execution of </w:t>
      </w:r>
      <w:proofErr w:type="spellStart"/>
      <w:r>
        <w:t>Nsmf_EventExposure_Subscribe</w:t>
      </w:r>
      <w:proofErr w:type="spellEnd"/>
      <w:r>
        <w:t>.</w:t>
      </w:r>
    </w:p>
    <w:p w14:paraId="3D3009E1" w14:textId="77777777" w:rsidR="009C6538" w:rsidRDefault="009C6538" w:rsidP="009C6538">
      <w:pPr>
        <w:pStyle w:val="B1"/>
      </w:pPr>
      <w:r>
        <w:t>4.</w:t>
      </w:r>
      <w:r>
        <w:tab/>
        <w:t xml:space="preserve">[Conditional] UDM acknowledges the execution of </w:t>
      </w:r>
      <w:proofErr w:type="spellStart"/>
      <w:r>
        <w:t>Nudm_EventExposure_Subscribe</w:t>
      </w:r>
      <w:proofErr w:type="spellEnd"/>
      <w:r>
        <w:t>.</w:t>
      </w:r>
    </w:p>
    <w:p w14:paraId="76F7D646" w14:textId="14322F54" w:rsidR="009C6538" w:rsidRDefault="009C6538" w:rsidP="009C6538">
      <w:pPr>
        <w:pStyle w:val="B1"/>
      </w:pPr>
      <w:r>
        <w:tab/>
        <w:t>If the subscription is applicable to a group of UE(s) and the Maximum number of reports is included in the Event Report information in step 1, the Number of UEs</w:t>
      </w:r>
      <w:ins w:id="38" w:author="Ericsson_CQ_144e" w:date="2021-04-26T09:45:00Z">
        <w:r w:rsidR="004B4E32">
          <w:rPr>
            <w:lang w:eastAsia="zh-CN"/>
          </w:rPr>
          <w:t xml:space="preserve"> (including </w:t>
        </w:r>
      </w:ins>
      <w:ins w:id="39" w:author="Ericsson_145_rev" w:date="2021-05-21T23:15:00Z">
        <w:r w:rsidR="00B85F79">
          <w:rPr>
            <w:lang w:eastAsia="zh-CN"/>
          </w:rPr>
          <w:t>all group member UEs irrespective of their registration state</w:t>
        </w:r>
      </w:ins>
      <w:ins w:id="40" w:author="Ericsson_CQ_144e" w:date="2021-04-26T09:45:00Z">
        <w:r w:rsidR="004B4E32">
          <w:rPr>
            <w:lang w:eastAsia="zh-CN"/>
          </w:rPr>
          <w:t>)</w:t>
        </w:r>
      </w:ins>
      <w:r>
        <w:t xml:space="preserve"> is included in the acknowledgement.</w:t>
      </w:r>
    </w:p>
    <w:p w14:paraId="1CE43DF5" w14:textId="77777777" w:rsidR="009C6538" w:rsidRDefault="009C6538" w:rsidP="009C6538">
      <w:pPr>
        <w:pStyle w:val="B1"/>
      </w:pPr>
      <w:r>
        <w:t>5.</w:t>
      </w:r>
      <w:r>
        <w:tab/>
        <w:t xml:space="preserve">NEF acknowledges the execution of </w:t>
      </w:r>
      <w:proofErr w:type="spellStart"/>
      <w:r>
        <w:t>Nnef_EventExposure_Subscribe</w:t>
      </w:r>
      <w:proofErr w:type="spellEnd"/>
      <w:r>
        <w:t xml:space="preserve"> to the requester that initiated the request.</w:t>
      </w:r>
    </w:p>
    <w:p w14:paraId="7B29A3A9" w14:textId="77777777" w:rsidR="009C6538" w:rsidRDefault="009C6538" w:rsidP="009C6538">
      <w:pPr>
        <w:pStyle w:val="B1"/>
      </w:pPr>
      <w:r>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7788B6D" w14:textId="77777777" w:rsidR="009C6538" w:rsidRDefault="009C6538" w:rsidP="009C6538">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6897FFB" w14:textId="77777777" w:rsidR="009C6538" w:rsidRDefault="009C6538" w:rsidP="009C6538">
      <w:pPr>
        <w:pStyle w:val="B1"/>
      </w:pPr>
      <w:r>
        <w:tab/>
        <w:t>If the AMF has a maximum number of reports stored for the UE or the individual member UE, the AMF shall decrease its value by one for the reported event.</w:t>
      </w:r>
    </w:p>
    <w:p w14:paraId="53FFA08A" w14:textId="77777777" w:rsidR="009C6538" w:rsidRDefault="009C6538" w:rsidP="009C6538">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10BEBE9A" w14:textId="5E8F5C5C" w:rsidR="009C6538" w:rsidRDefault="009C6538" w:rsidP="009C6538">
      <w:pPr>
        <w:pStyle w:val="B1"/>
        <w:rPr>
          <w:ins w:id="41" w:author="Ericsson_CQ_144e" w:date="2021-04-26T09:49:00Z"/>
        </w:rPr>
      </w:pPr>
      <w:r>
        <w:tab/>
        <w:t>For both step 6a and step 6b,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CD723B8" w14:textId="47C33343" w:rsidR="004B4E32" w:rsidRDefault="00B85F79" w:rsidP="004B4E32">
      <w:pPr>
        <w:pStyle w:val="NO"/>
        <w:rPr>
          <w:lang w:eastAsia="zh-CN"/>
        </w:rPr>
      </w:pPr>
      <w:ins w:id="42" w:author="Ericsson_145_rev" w:date="2021-05-21T23:16:00Z">
        <w:r>
          <w:t>NOTE 4:</w:t>
        </w:r>
        <w:r>
          <w:tab/>
          <w:t>If an expiry time as specified in TS</w:t>
        </w:r>
        <w:r>
          <w:rPr>
            <w:lang w:eastAsia="zh-CN"/>
          </w:rPr>
          <w:t> </w:t>
        </w:r>
        <w:r>
          <w:t>29.518</w:t>
        </w:r>
        <w:r>
          <w:rPr>
            <w:lang w:eastAsia="zh-CN"/>
          </w:rPr>
          <w:t> </w:t>
        </w:r>
        <w:r>
          <w:t>[18] clause</w:t>
        </w:r>
        <w:r>
          <w:rPr>
            <w:lang w:eastAsia="zh-CN"/>
          </w:rPr>
          <w:t> </w:t>
        </w:r>
        <w:r>
          <w:t>6.2.6.2.6 is not included in the event subscription, then the life time of the event subscription needs to be controlled by other means as there is no time based cancellation at all even if any group member UEs fail to register.</w:t>
        </w:r>
      </w:ins>
    </w:p>
    <w:p w14:paraId="00A2E614" w14:textId="77777777" w:rsidR="009C6538" w:rsidRDefault="009C6538" w:rsidP="009C6538">
      <w:pPr>
        <w:pStyle w:val="B1"/>
      </w:pPr>
      <w:r>
        <w:tab/>
        <w:t>When the Maximum duration of reporting expires in the NEF, the UDM and the AMF, then each of these nodes shall locally unsubscribe the monitoring event.</w:t>
      </w:r>
    </w:p>
    <w:p w14:paraId="04612F5D" w14:textId="77777777" w:rsidR="009C6538" w:rsidRDefault="009C6538" w:rsidP="009C6538">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F62A8B4" w14:textId="77777777" w:rsidR="009C6538" w:rsidRDefault="009C6538" w:rsidP="009C6538">
      <w:pPr>
        <w:pStyle w:val="B1"/>
      </w:pPr>
      <w:r>
        <w:lastRenderedPageBreak/>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In the case of the PDU Session Status event, the NEF maps it to an PDN Connectivity Status notification when reporting to the AF.</w:t>
      </w:r>
    </w:p>
    <w:p w14:paraId="26EEBCEB" w14:textId="77777777" w:rsidR="009C6538" w:rsidRDefault="009C6538" w:rsidP="009C6538">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473B49DD" w14:textId="0597C686" w:rsidR="00F43099" w:rsidRDefault="00F43099" w:rsidP="00F43099">
      <w:pPr>
        <w:rPr>
          <w:color w:val="FF0000"/>
          <w:sz w:val="36"/>
        </w:rPr>
      </w:pPr>
      <w:bookmarkStart w:id="43" w:name="_Toc20204211"/>
      <w:bookmarkStart w:id="44" w:name="_Toc27894903"/>
      <w:bookmarkStart w:id="45" w:name="_Toc36191983"/>
      <w:bookmarkStart w:id="46" w:name="_Toc45193073"/>
      <w:bookmarkStart w:id="47" w:name="_Toc47592705"/>
      <w:bookmarkStart w:id="48" w:name="_Toc51834792"/>
      <w:bookmarkStart w:id="49" w:name="_Toc59100618"/>
      <w:bookmarkStart w:id="50" w:name="_Toc524947349"/>
      <w:r w:rsidRPr="000F55FE">
        <w:rPr>
          <w:color w:val="FF0000"/>
          <w:sz w:val="36"/>
        </w:rPr>
        <w:t xml:space="preserve">************** </w:t>
      </w:r>
      <w:r>
        <w:rPr>
          <w:color w:val="FF0000"/>
          <w:sz w:val="36"/>
        </w:rPr>
        <w:t>Next C</w:t>
      </w:r>
      <w:r w:rsidRPr="000F55FE">
        <w:rPr>
          <w:color w:val="FF0000"/>
          <w:sz w:val="36"/>
        </w:rPr>
        <w:t>hange ***************</w:t>
      </w:r>
    </w:p>
    <w:p w14:paraId="6B10F76F" w14:textId="3342E500" w:rsidR="005E7C9C" w:rsidRDefault="005E7C9C" w:rsidP="005E7C9C">
      <w:pPr>
        <w:pStyle w:val="Heading4"/>
      </w:pPr>
      <w:bookmarkStart w:id="51" w:name="_Toc20204205"/>
      <w:bookmarkStart w:id="52" w:name="_Toc27894897"/>
      <w:bookmarkStart w:id="53" w:name="_Toc36191977"/>
      <w:bookmarkStart w:id="54" w:name="_Toc45193067"/>
      <w:bookmarkStart w:id="55" w:name="_Toc47592699"/>
      <w:bookmarkStart w:id="56" w:name="_Toc51834786"/>
      <w:bookmarkStart w:id="57" w:name="_Toc68061978"/>
      <w:r>
        <w:t>4.15.4.2</w:t>
      </w:r>
      <w:r>
        <w:tab/>
        <w:t>Exposure of Mobility Events from AMF</w:t>
      </w:r>
      <w:bookmarkEnd w:id="51"/>
      <w:bookmarkEnd w:id="52"/>
      <w:bookmarkEnd w:id="53"/>
      <w:bookmarkEnd w:id="54"/>
      <w:bookmarkEnd w:id="55"/>
      <w:bookmarkEnd w:id="56"/>
      <w:bookmarkEnd w:id="57"/>
    </w:p>
    <w:p w14:paraId="04F14075" w14:textId="77777777" w:rsidR="005E7C9C" w:rsidRDefault="005E7C9C" w:rsidP="005E7C9C">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364287F8" w14:textId="77777777" w:rsidR="005E7C9C" w:rsidRDefault="005E7C9C" w:rsidP="005E7C9C">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167092A" w14:textId="77777777" w:rsidR="005E7C9C" w:rsidRDefault="005E7C9C" w:rsidP="005E7C9C">
      <w:pPr>
        <w:pStyle w:val="B2"/>
      </w:pPr>
      <w:r>
        <w:tab/>
        <w:t>if the event subscription only applies to the UE, the new AMF allocates a new Subscription Correlation ID and notify the NF consumer of the new Subscription Correlation ID associated with the change of Subscription Correlation ID event.</w:t>
      </w:r>
    </w:p>
    <w:p w14:paraId="58D76274" w14:textId="7DB40F4D" w:rsidR="005E7C9C" w:rsidRDefault="005E7C9C" w:rsidP="005E7C9C">
      <w:pPr>
        <w:pStyle w:val="B2"/>
        <w:rPr>
          <w:ins w:id="58" w:author="Ericsson_CQ_144e" w:date="2021-04-26T10:01:00Z"/>
        </w:rPr>
      </w:pPr>
      <w:r>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w:t>
      </w:r>
      <w:ins w:id="59" w:author="Ericsson_CQ_144e" w:date="2021-04-26T09:59:00Z">
        <w:r w:rsidR="005D6D63">
          <w:t xml:space="preserve">initial </w:t>
        </w:r>
      </w:ins>
      <w:ins w:id="60" w:author="Ericsson_CQ_144e" w:date="2021-04-26T10:01:00Z">
        <w:r w:rsidR="00F2432A">
          <w:t xml:space="preserve">Maximum number of reports and the </w:t>
        </w:r>
      </w:ins>
      <w:r>
        <w:t>remaining number of reports within the Maximum number of reports quota for the UE is transferred from the old AMF.</w:t>
      </w:r>
    </w:p>
    <w:p w14:paraId="7FBBEBCA" w14:textId="7B39061B" w:rsidR="00F2432A" w:rsidRDefault="00B85F79" w:rsidP="00F2432A">
      <w:pPr>
        <w:pStyle w:val="NO"/>
        <w:ind w:left="1418"/>
        <w:rPr>
          <w:lang w:eastAsia="zh-CN"/>
        </w:rPr>
      </w:pPr>
      <w:ins w:id="61" w:author="Ericsson_145_rev" w:date="2021-05-21T23:17:00Z">
        <w:r>
          <w:t>NOTE 1:</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ins>
    </w:p>
    <w:p w14:paraId="59E8DFF2" w14:textId="77777777" w:rsidR="005E7C9C" w:rsidRDefault="005E7C9C" w:rsidP="005E7C9C">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55E41EA7" w14:textId="77777777" w:rsidR="005E7C9C" w:rsidRDefault="005E7C9C" w:rsidP="005E7C9C">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2B78E168" w14:textId="77777777" w:rsidR="005E7C9C" w:rsidRDefault="005E7C9C" w:rsidP="005E7C9C">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576C2C78" w14:textId="77777777" w:rsidR="005E7C9C" w:rsidRDefault="005E7C9C" w:rsidP="005E7C9C">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6BF2E1B1" w14:textId="77777777" w:rsidR="005E7C9C" w:rsidRDefault="005E7C9C" w:rsidP="005E7C9C">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FC924EE" w14:textId="77777777" w:rsidR="005E7C9C" w:rsidRDefault="005E7C9C" w:rsidP="005E7C9C">
      <w:pPr>
        <w:pStyle w:val="B1"/>
      </w:pPr>
      <w:r>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429AB260" w14:textId="77777777" w:rsidR="005E7C9C" w:rsidRDefault="005E7C9C" w:rsidP="005E7C9C">
      <w:pPr>
        <w:pStyle w:val="B2"/>
      </w:pPr>
      <w:r>
        <w:lastRenderedPageBreak/>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43B9E6A4" w14:textId="77777777" w:rsidR="005E7C9C" w:rsidRDefault="005E7C9C" w:rsidP="005E7C9C">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4DD1EC48" w14:textId="77777777" w:rsidR="005E7C9C" w:rsidRDefault="005E7C9C" w:rsidP="005E7C9C">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CIoT 5GS Optimisation.</w:t>
      </w:r>
    </w:p>
    <w:p w14:paraId="096263AC" w14:textId="77777777" w:rsidR="005E7C9C" w:rsidRDefault="005E7C9C" w:rsidP="005E7C9C">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1E9664F9" w14:textId="77777777" w:rsidR="005E7C9C" w:rsidRDefault="005E7C9C" w:rsidP="005E7C9C">
      <w:pPr>
        <w:pStyle w:val="B1"/>
      </w:pPr>
      <w:r>
        <w:t>-</w:t>
      </w:r>
      <w:r>
        <w:tab/>
        <w:t>If the Mobile Reachable Timer expires the AMF notifies the NF consumers that have subscribed for the corresponding events that the UE is not reachable.</w:t>
      </w:r>
    </w:p>
    <w:p w14:paraId="0AAC73BC" w14:textId="77777777" w:rsidR="005E7C9C" w:rsidRDefault="005E7C9C" w:rsidP="005E7C9C">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14E0AD85" w14:textId="77777777" w:rsidR="005E7C9C" w:rsidRDefault="005E7C9C" w:rsidP="005E7C9C">
      <w:pPr>
        <w:pStyle w:val="B1"/>
      </w:pPr>
      <w:r>
        <w:t>-</w:t>
      </w:r>
      <w:r>
        <w:tab/>
        <w:t>If UE's TAC is already known by the AMF, then, the AMF notifies UE TAC to the NF consumers (e.g. to NWDAF). If UE TAC is unknown, then the AMF notifies the UE TAC when it obtained the UE TAC from the UE.</w:t>
      </w:r>
    </w:p>
    <w:p w14:paraId="0A6D7FF7" w14:textId="77777777" w:rsidR="005E7C9C" w:rsidRDefault="005E7C9C" w:rsidP="005E7C9C">
      <w:r>
        <w:t xml:space="preserve">During Connection, Registration and Mobility Management procedures, the AMF may store and update the UE behaviour trends specified in Table 4.15.4.2-1 and the UE location trends specified in Table 4.15.4.2-2. Each metrics is updated incrementally, e.g. using exponential moving average. This information is exposed to consumer NFs (e.g. NWDAF) that subscribe for the event ID "UE behaviour trends" and/or "UE location trends", respectively, by invoking </w:t>
      </w:r>
      <w:proofErr w:type="spellStart"/>
      <w:r>
        <w:t>Namf_EventExposure_Subscribe</w:t>
      </w:r>
      <w:proofErr w:type="spellEnd"/>
      <w:r>
        <w:t>.</w:t>
      </w:r>
    </w:p>
    <w:p w14:paraId="25D2E67F" w14:textId="77777777" w:rsidR="005E7C9C" w:rsidRDefault="005E7C9C" w:rsidP="005E7C9C">
      <w:pPr>
        <w:pStyle w:val="TH"/>
      </w:pPr>
      <w:r>
        <w:t>Table 4.15.4.2-1: UE 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E7C9C" w14:paraId="405747E4"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26E15FB8" w14:textId="77777777" w:rsidR="005E7C9C" w:rsidRDefault="005E7C9C">
            <w:pPr>
              <w:pStyle w:val="TAH"/>
              <w:rPr>
                <w:rFonts w:eastAsia="Malgun Gothic"/>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2F21D78F" w14:textId="77777777" w:rsidR="005E7C9C" w:rsidRDefault="005E7C9C">
            <w:pPr>
              <w:pStyle w:val="TAH"/>
              <w:rPr>
                <w:rFonts w:eastAsia="Malgun Gothic"/>
              </w:rPr>
            </w:pPr>
            <w:r>
              <w:rPr>
                <w:rFonts w:eastAsia="Malgun Gothic"/>
              </w:rPr>
              <w:t>Description</w:t>
            </w:r>
          </w:p>
        </w:tc>
      </w:tr>
      <w:tr w:rsidR="005E7C9C" w14:paraId="218980E8"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6F6DBF7B" w14:textId="77777777" w:rsidR="005E7C9C" w:rsidRDefault="005E7C9C">
            <w:pPr>
              <w:pStyle w:val="TAL"/>
              <w:rPr>
                <w:rFonts w:eastAsia="Malgun Gothic"/>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6057C0BA" w14:textId="77777777" w:rsidR="005E7C9C" w:rsidRDefault="005E7C9C">
            <w:pPr>
              <w:pStyle w:val="TAL"/>
              <w:rPr>
                <w:rFonts w:eastAsia="Malgun Gothic"/>
              </w:rPr>
            </w:pPr>
            <w:r>
              <w:rPr>
                <w:rFonts w:eastAsia="Malgun Gothic"/>
              </w:rPr>
              <w:t>SUPI</w:t>
            </w:r>
          </w:p>
        </w:tc>
      </w:tr>
      <w:tr w:rsidR="005E7C9C" w14:paraId="2C10F6EE"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3322F5E3" w14:textId="77777777" w:rsidR="005E7C9C" w:rsidRDefault="005E7C9C">
            <w:pPr>
              <w:pStyle w:val="TAL"/>
              <w:rPr>
                <w:rFonts w:eastAsia="Malgun Gothic"/>
              </w:rPr>
            </w:pPr>
            <w:r>
              <w:rPr>
                <w:rFonts w:eastAsia="Malgun Gothic"/>
              </w:rPr>
              <w:t>List of state transitions</w:t>
            </w:r>
          </w:p>
        </w:tc>
        <w:tc>
          <w:tcPr>
            <w:tcW w:w="4678" w:type="dxa"/>
            <w:tcBorders>
              <w:top w:val="single" w:sz="4" w:space="0" w:color="auto"/>
              <w:left w:val="single" w:sz="4" w:space="0" w:color="auto"/>
              <w:bottom w:val="single" w:sz="4" w:space="0" w:color="auto"/>
              <w:right w:val="single" w:sz="4" w:space="0" w:color="auto"/>
            </w:tcBorders>
          </w:tcPr>
          <w:p w14:paraId="5F3FC261" w14:textId="77777777" w:rsidR="005E7C9C" w:rsidRDefault="005E7C9C">
            <w:pPr>
              <w:pStyle w:val="TAL"/>
              <w:rPr>
                <w:rFonts w:eastAsia="Malgun Gothic"/>
              </w:rPr>
            </w:pPr>
          </w:p>
        </w:tc>
      </w:tr>
      <w:tr w:rsidR="005E7C9C" w:rsidRPr="005E7C9C" w14:paraId="7447684E"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21DDCD52" w14:textId="77777777" w:rsidR="005E7C9C" w:rsidRDefault="005E7C9C">
            <w:pPr>
              <w:pStyle w:val="TAL"/>
            </w:pPr>
            <w:r>
              <w:t>&gt; State transition type</w:t>
            </w:r>
          </w:p>
        </w:tc>
        <w:tc>
          <w:tcPr>
            <w:tcW w:w="4678" w:type="dxa"/>
            <w:tcBorders>
              <w:top w:val="single" w:sz="4" w:space="0" w:color="auto"/>
              <w:left w:val="single" w:sz="4" w:space="0" w:color="auto"/>
              <w:bottom w:val="single" w:sz="4" w:space="0" w:color="auto"/>
              <w:right w:val="single" w:sz="4" w:space="0" w:color="auto"/>
            </w:tcBorders>
            <w:hideMark/>
          </w:tcPr>
          <w:p w14:paraId="551A99DB" w14:textId="77777777" w:rsidR="005E7C9C" w:rsidRDefault="005E7C9C">
            <w:pPr>
              <w:pStyle w:val="TAL"/>
            </w:pPr>
            <w:r>
              <w:t>State transition identifier:</w:t>
            </w:r>
          </w:p>
          <w:p w14:paraId="788D42F1" w14:textId="77777777" w:rsidR="005E7C9C" w:rsidRDefault="005E7C9C">
            <w:pPr>
              <w:pStyle w:val="TAL"/>
            </w:pPr>
            <w:r>
              <w:t>-</w:t>
            </w:r>
            <w:r>
              <w:tab/>
              <w:t>"Access Type change to 3GPP access",</w:t>
            </w:r>
          </w:p>
          <w:p w14:paraId="5E4E1654" w14:textId="77777777" w:rsidR="005E7C9C" w:rsidRDefault="005E7C9C">
            <w:pPr>
              <w:pStyle w:val="TAL"/>
            </w:pPr>
            <w:r>
              <w:t>-</w:t>
            </w:r>
            <w:r>
              <w:tab/>
              <w:t>"Access Type change to non-3GPP access",</w:t>
            </w:r>
          </w:p>
          <w:p w14:paraId="74BB7B3D" w14:textId="77777777" w:rsidR="005E7C9C" w:rsidRDefault="005E7C9C">
            <w:pPr>
              <w:pStyle w:val="TAL"/>
            </w:pPr>
            <w:r>
              <w:t>-</w:t>
            </w:r>
            <w:r>
              <w:tab/>
              <w:t>"RM state change to RM-DEREGISTERED",</w:t>
            </w:r>
          </w:p>
          <w:p w14:paraId="5773D47C" w14:textId="77777777" w:rsidR="005E7C9C" w:rsidRDefault="005E7C9C">
            <w:pPr>
              <w:pStyle w:val="TAL"/>
            </w:pPr>
            <w:r>
              <w:t>-</w:t>
            </w:r>
            <w:r>
              <w:tab/>
              <w:t>"RM state change to RM-REGISTERED ",</w:t>
            </w:r>
          </w:p>
          <w:p w14:paraId="11AB86AC" w14:textId="77777777" w:rsidR="005E7C9C" w:rsidRDefault="005E7C9C">
            <w:pPr>
              <w:pStyle w:val="TAL"/>
            </w:pPr>
            <w:r>
              <w:t>-</w:t>
            </w:r>
            <w:r>
              <w:tab/>
              <w:t>"CM state change to CM-IDLE",</w:t>
            </w:r>
          </w:p>
          <w:p w14:paraId="7C5A1DFE" w14:textId="77777777" w:rsidR="005E7C9C" w:rsidRDefault="005E7C9C">
            <w:pPr>
              <w:pStyle w:val="TAL"/>
            </w:pPr>
            <w:r>
              <w:t>-</w:t>
            </w:r>
            <w:r>
              <w:tab/>
              <w:t>"CM state change to CM-CONNECTED",</w:t>
            </w:r>
          </w:p>
          <w:p w14:paraId="283D8B3E" w14:textId="77777777" w:rsidR="005E7C9C" w:rsidRDefault="005E7C9C">
            <w:pPr>
              <w:pStyle w:val="TAL"/>
            </w:pPr>
            <w:r>
              <w:t>-</w:t>
            </w:r>
            <w:r>
              <w:tab/>
              <w:t>"Handover", or</w:t>
            </w:r>
          </w:p>
          <w:p w14:paraId="5C1387A3" w14:textId="77777777" w:rsidR="005E7C9C" w:rsidRDefault="005E7C9C">
            <w:pPr>
              <w:pStyle w:val="TAL"/>
            </w:pPr>
            <w:r>
              <w:t>-</w:t>
            </w:r>
            <w:r>
              <w:tab/>
              <w:t>"Mobility Registration Update".</w:t>
            </w:r>
          </w:p>
        </w:tc>
      </w:tr>
      <w:tr w:rsidR="005E7C9C" w:rsidRPr="005E7C9C" w14:paraId="70C2B20A"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72796E58" w14:textId="77777777" w:rsidR="005E7C9C" w:rsidRDefault="005E7C9C">
            <w:pPr>
              <w:pStyle w:val="TAL"/>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378B2978" w14:textId="77777777" w:rsidR="005E7C9C" w:rsidRDefault="005E7C9C">
            <w:pPr>
              <w:pStyle w:val="TAL"/>
            </w:pPr>
            <w:r>
              <w:t>Average and variance of the time interval separating two consecutive occurrences of the state transition.</w:t>
            </w:r>
          </w:p>
        </w:tc>
      </w:tr>
      <w:tr w:rsidR="005E7C9C" w:rsidRPr="005E7C9C" w14:paraId="17C140E1"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7835147A" w14:textId="77777777" w:rsidR="005E7C9C" w:rsidRDefault="005E7C9C">
            <w:pPr>
              <w:pStyle w:val="TAL"/>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275F8D6C" w14:textId="77777777" w:rsidR="005E7C9C" w:rsidRDefault="005E7C9C">
            <w:pPr>
              <w:pStyle w:val="TAL"/>
            </w:pPr>
            <w:r>
              <w:t>Average and variance of duration in the resulting state.</w:t>
            </w:r>
          </w:p>
        </w:tc>
      </w:tr>
    </w:tbl>
    <w:p w14:paraId="6BE2A6A4" w14:textId="77777777" w:rsidR="005E7C9C" w:rsidRDefault="005E7C9C" w:rsidP="005E7C9C">
      <w:pPr>
        <w:pStyle w:val="FP"/>
      </w:pPr>
    </w:p>
    <w:p w14:paraId="711FD68A" w14:textId="77777777" w:rsidR="005E7C9C" w:rsidRDefault="005E7C9C" w:rsidP="005E7C9C">
      <w:pPr>
        <w:pStyle w:val="TH"/>
      </w:pPr>
      <w:r>
        <w:lastRenderedPageBreak/>
        <w:t>Table 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E7C9C" w14:paraId="6B9B2FED"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6D765ACD" w14:textId="77777777" w:rsidR="005E7C9C" w:rsidRDefault="005E7C9C">
            <w:pPr>
              <w:pStyle w:val="TAH"/>
              <w:rPr>
                <w:rFonts w:eastAsia="Malgun Gothic"/>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70864F40" w14:textId="77777777" w:rsidR="005E7C9C" w:rsidRDefault="005E7C9C">
            <w:pPr>
              <w:pStyle w:val="TAH"/>
              <w:rPr>
                <w:rFonts w:eastAsia="Malgun Gothic"/>
              </w:rPr>
            </w:pPr>
            <w:r>
              <w:rPr>
                <w:rFonts w:eastAsia="Malgun Gothic"/>
              </w:rPr>
              <w:t>Description</w:t>
            </w:r>
          </w:p>
        </w:tc>
      </w:tr>
      <w:tr w:rsidR="005E7C9C" w14:paraId="6EBEB1D8"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3B8A83AB" w14:textId="77777777" w:rsidR="005E7C9C" w:rsidRDefault="005E7C9C">
            <w:pPr>
              <w:pStyle w:val="TAL"/>
              <w:rPr>
                <w:rFonts w:eastAsia="Malgun Gothic"/>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4BEA189A" w14:textId="77777777" w:rsidR="005E7C9C" w:rsidRDefault="005E7C9C">
            <w:pPr>
              <w:pStyle w:val="TAL"/>
              <w:rPr>
                <w:rFonts w:eastAsia="Malgun Gothic"/>
              </w:rPr>
            </w:pPr>
            <w:r>
              <w:rPr>
                <w:rFonts w:eastAsia="Malgun Gothic"/>
              </w:rPr>
              <w:t>SUPI</w:t>
            </w:r>
          </w:p>
        </w:tc>
      </w:tr>
      <w:tr w:rsidR="005E7C9C" w:rsidRPr="005E7C9C" w14:paraId="1517D10C"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24B9ACDF" w14:textId="77777777" w:rsidR="005E7C9C" w:rsidRDefault="005E7C9C">
            <w:pPr>
              <w:pStyle w:val="TAL"/>
              <w:rPr>
                <w:rFonts w:eastAsia="Malgun Gothic"/>
              </w:rPr>
            </w:pPr>
            <w:r>
              <w:rPr>
                <w:rFonts w:eastAsia="Malgun Gothic"/>
              </w:rPr>
              <w:t>List of location information (1..N)</w:t>
            </w:r>
          </w:p>
        </w:tc>
        <w:tc>
          <w:tcPr>
            <w:tcW w:w="4678" w:type="dxa"/>
            <w:tcBorders>
              <w:top w:val="single" w:sz="4" w:space="0" w:color="auto"/>
              <w:left w:val="single" w:sz="4" w:space="0" w:color="auto"/>
              <w:bottom w:val="single" w:sz="4" w:space="0" w:color="auto"/>
              <w:right w:val="single" w:sz="4" w:space="0" w:color="auto"/>
            </w:tcBorders>
          </w:tcPr>
          <w:p w14:paraId="0229B52B" w14:textId="77777777" w:rsidR="005E7C9C" w:rsidRDefault="005E7C9C">
            <w:pPr>
              <w:pStyle w:val="TAL"/>
              <w:rPr>
                <w:rFonts w:eastAsia="Malgun Gothic"/>
              </w:rPr>
            </w:pPr>
          </w:p>
        </w:tc>
      </w:tr>
      <w:tr w:rsidR="005E7C9C" w:rsidRPr="005E7C9C" w14:paraId="22B1B169"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4DBB6319" w14:textId="77777777" w:rsidR="005E7C9C" w:rsidRDefault="005E7C9C">
            <w:pPr>
              <w:pStyle w:val="TAL"/>
            </w:pPr>
            <w:r>
              <w:t>&gt; UE Location</w:t>
            </w:r>
          </w:p>
        </w:tc>
        <w:tc>
          <w:tcPr>
            <w:tcW w:w="4678" w:type="dxa"/>
            <w:tcBorders>
              <w:top w:val="single" w:sz="4" w:space="0" w:color="auto"/>
              <w:left w:val="single" w:sz="4" w:space="0" w:color="auto"/>
              <w:bottom w:val="single" w:sz="4" w:space="0" w:color="auto"/>
              <w:right w:val="single" w:sz="4" w:space="0" w:color="auto"/>
            </w:tcBorders>
            <w:hideMark/>
          </w:tcPr>
          <w:p w14:paraId="28D5873B" w14:textId="77777777" w:rsidR="005E7C9C" w:rsidRDefault="005E7C9C">
            <w:pPr>
              <w:pStyle w:val="TAL"/>
            </w:pPr>
            <w:r>
              <w:t>TAI, Cell-ID (if available), non-3GPP access identity.</w:t>
            </w:r>
          </w:p>
        </w:tc>
      </w:tr>
      <w:tr w:rsidR="005E7C9C" w:rsidRPr="005E7C9C" w14:paraId="76352B90"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15EFCDDB" w14:textId="77777777" w:rsidR="005E7C9C" w:rsidRDefault="005E7C9C">
            <w:pPr>
              <w:pStyle w:val="TAL"/>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2BB913B1" w14:textId="77777777" w:rsidR="005E7C9C" w:rsidRDefault="005E7C9C">
            <w:pPr>
              <w:pStyle w:val="TAL"/>
            </w:pPr>
            <w:r>
              <w:t>Average and variance of the time interval separating two consecutive arrivals at this location.</w:t>
            </w:r>
          </w:p>
        </w:tc>
      </w:tr>
      <w:tr w:rsidR="005E7C9C" w:rsidRPr="005E7C9C" w14:paraId="59CA3480"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70D53157" w14:textId="77777777" w:rsidR="005E7C9C" w:rsidRDefault="005E7C9C">
            <w:pPr>
              <w:pStyle w:val="TAL"/>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3DD2C487" w14:textId="77777777" w:rsidR="005E7C9C" w:rsidRDefault="005E7C9C">
            <w:pPr>
              <w:pStyle w:val="TAL"/>
            </w:pPr>
            <w:r>
              <w:t>Average and variance of duration of stay in the location.</w:t>
            </w:r>
          </w:p>
        </w:tc>
      </w:tr>
      <w:tr w:rsidR="005E7C9C" w:rsidRPr="005E7C9C" w14:paraId="494200DD"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3D4CFAF3" w14:textId="77777777" w:rsidR="005E7C9C" w:rsidRDefault="005E7C9C">
            <w:pPr>
              <w:pStyle w:val="TAL"/>
            </w:pPr>
            <w:r>
              <w:t>&gt; Timestamp</w:t>
            </w:r>
          </w:p>
        </w:tc>
        <w:tc>
          <w:tcPr>
            <w:tcW w:w="4678" w:type="dxa"/>
            <w:tcBorders>
              <w:top w:val="single" w:sz="4" w:space="0" w:color="auto"/>
              <w:left w:val="single" w:sz="4" w:space="0" w:color="auto"/>
              <w:bottom w:val="single" w:sz="4" w:space="0" w:color="auto"/>
              <w:right w:val="single" w:sz="4" w:space="0" w:color="auto"/>
            </w:tcBorders>
            <w:hideMark/>
          </w:tcPr>
          <w:p w14:paraId="4D441E0F" w14:textId="77777777" w:rsidR="005E7C9C" w:rsidRDefault="005E7C9C">
            <w:pPr>
              <w:pStyle w:val="TAL"/>
            </w:pPr>
            <w:r>
              <w:t>Timestamp of last arrival in the location.</w:t>
            </w:r>
          </w:p>
        </w:tc>
      </w:tr>
      <w:tr w:rsidR="005E7C9C" w14:paraId="0A1C4FAF" w14:textId="77777777" w:rsidTr="005E7C9C">
        <w:tc>
          <w:tcPr>
            <w:tcW w:w="7655" w:type="dxa"/>
            <w:gridSpan w:val="2"/>
            <w:tcBorders>
              <w:top w:val="single" w:sz="4" w:space="0" w:color="auto"/>
              <w:left w:val="single" w:sz="4" w:space="0" w:color="auto"/>
              <w:bottom w:val="single" w:sz="4" w:space="0" w:color="auto"/>
              <w:right w:val="single" w:sz="4" w:space="0" w:color="auto"/>
            </w:tcBorders>
            <w:hideMark/>
          </w:tcPr>
          <w:p w14:paraId="0427E8D8" w14:textId="77777777" w:rsidR="005E7C9C" w:rsidRDefault="005E7C9C">
            <w:pPr>
              <w:pStyle w:val="TAN"/>
            </w:pPr>
            <w:r>
              <w:t>NOTE:</w:t>
            </w:r>
            <w:r>
              <w:tab/>
              <w:t>The maximum size of the list (N) is defined per configuration and only the N entries with the highest average value of "Duration" are kept in the list. The list is ordered by descending order of "Duration".</w:t>
            </w:r>
          </w:p>
        </w:tc>
      </w:tr>
    </w:tbl>
    <w:p w14:paraId="7B299C4D" w14:textId="77777777" w:rsidR="005E7C9C" w:rsidRDefault="005E7C9C" w:rsidP="005E7C9C">
      <w:pPr>
        <w:pStyle w:val="FP"/>
      </w:pPr>
    </w:p>
    <w:p w14:paraId="7746091B" w14:textId="065E2ADD" w:rsidR="00F43099" w:rsidRDefault="00F43099" w:rsidP="005E7C9C">
      <w:pPr>
        <w:pStyle w:val="Heading5"/>
        <w:rPr>
          <w:color w:val="FF0000"/>
          <w:sz w:val="36"/>
        </w:rPr>
      </w:pPr>
    </w:p>
    <w:bookmarkEnd w:id="43"/>
    <w:bookmarkEnd w:id="44"/>
    <w:bookmarkEnd w:id="45"/>
    <w:bookmarkEnd w:id="46"/>
    <w:bookmarkEnd w:id="47"/>
    <w:bookmarkEnd w:id="48"/>
    <w:bookmarkEnd w:id="49"/>
    <w:bookmarkEnd w:id="50"/>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CBCDF" w14:textId="77777777" w:rsidR="00652CA3" w:rsidRDefault="00652CA3">
      <w:r>
        <w:separator/>
      </w:r>
    </w:p>
  </w:endnote>
  <w:endnote w:type="continuationSeparator" w:id="0">
    <w:p w14:paraId="57AFF860" w14:textId="77777777" w:rsidR="00652CA3" w:rsidRDefault="0065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ABAD6" w14:textId="77777777" w:rsidR="00755AAC" w:rsidRDefault="00755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EF46A" w14:textId="77777777" w:rsidR="00755AAC" w:rsidRDefault="00755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6C0B1" w14:textId="77777777" w:rsidR="00755AAC" w:rsidRDefault="00755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15FE1" w14:textId="77777777" w:rsidR="00652CA3" w:rsidRDefault="00652CA3">
      <w:r>
        <w:separator/>
      </w:r>
    </w:p>
  </w:footnote>
  <w:footnote w:type="continuationSeparator" w:id="0">
    <w:p w14:paraId="7EDA5A24" w14:textId="77777777" w:rsidR="00652CA3" w:rsidRDefault="0065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1BF8A7E6" w:rsidR="00755AAC" w:rsidRDefault="00755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02E16552" w:rsidR="00755AAC" w:rsidRDefault="00755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e">
    <w15:presenceInfo w15:providerId="None" w15:userId="Ericsson_CQ_144e"/>
  </w15:person>
  <w15:person w15:author="Ericsson_145_rev">
    <w15:presenceInfo w15:providerId="None" w15:userId="Ericsson_145_rev"/>
  </w15:person>
  <w15:person w15:author="Ericsson_CQ">
    <w15:presenceInfo w15:providerId="None" w15:userId="Ericsson_CQ"/>
  </w15:person>
  <w15:person w15:author="Huawei C First Monday">
    <w15:presenceInfo w15:providerId="None" w15:userId="Huawei C Fir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6DC6"/>
    <w:rsid w:val="00007B08"/>
    <w:rsid w:val="000149C7"/>
    <w:rsid w:val="00022E4A"/>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416A"/>
    <w:rsid w:val="000E6541"/>
    <w:rsid w:val="000F7332"/>
    <w:rsid w:val="00101E1C"/>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26E5"/>
    <w:rsid w:val="001D7C27"/>
    <w:rsid w:val="001E14E4"/>
    <w:rsid w:val="001E41F3"/>
    <w:rsid w:val="001E5BEE"/>
    <w:rsid w:val="001F315C"/>
    <w:rsid w:val="001F523F"/>
    <w:rsid w:val="001F7605"/>
    <w:rsid w:val="002037C8"/>
    <w:rsid w:val="00205555"/>
    <w:rsid w:val="00213955"/>
    <w:rsid w:val="00220BDC"/>
    <w:rsid w:val="00220E1B"/>
    <w:rsid w:val="002301A8"/>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864C1"/>
    <w:rsid w:val="0029392E"/>
    <w:rsid w:val="0029772E"/>
    <w:rsid w:val="002B109A"/>
    <w:rsid w:val="002B2ADB"/>
    <w:rsid w:val="002B5741"/>
    <w:rsid w:val="002C26C1"/>
    <w:rsid w:val="002F6356"/>
    <w:rsid w:val="002F6619"/>
    <w:rsid w:val="00305409"/>
    <w:rsid w:val="003203BD"/>
    <w:rsid w:val="00320F79"/>
    <w:rsid w:val="0032186D"/>
    <w:rsid w:val="003220A9"/>
    <w:rsid w:val="00326132"/>
    <w:rsid w:val="003261F5"/>
    <w:rsid w:val="003333E8"/>
    <w:rsid w:val="00336B8D"/>
    <w:rsid w:val="0034041E"/>
    <w:rsid w:val="003609EF"/>
    <w:rsid w:val="0036231A"/>
    <w:rsid w:val="00374DD4"/>
    <w:rsid w:val="00380844"/>
    <w:rsid w:val="00380987"/>
    <w:rsid w:val="003816A6"/>
    <w:rsid w:val="003860D5"/>
    <w:rsid w:val="00386C77"/>
    <w:rsid w:val="0038709B"/>
    <w:rsid w:val="00390176"/>
    <w:rsid w:val="003B1833"/>
    <w:rsid w:val="003B5103"/>
    <w:rsid w:val="003B6E09"/>
    <w:rsid w:val="003C35DF"/>
    <w:rsid w:val="003C4911"/>
    <w:rsid w:val="003D1B86"/>
    <w:rsid w:val="003D4A0B"/>
    <w:rsid w:val="003E00AB"/>
    <w:rsid w:val="003E1A36"/>
    <w:rsid w:val="003E4659"/>
    <w:rsid w:val="003F1BE5"/>
    <w:rsid w:val="003F7402"/>
    <w:rsid w:val="00404E72"/>
    <w:rsid w:val="00410371"/>
    <w:rsid w:val="004179C4"/>
    <w:rsid w:val="00421A70"/>
    <w:rsid w:val="004242F1"/>
    <w:rsid w:val="00424569"/>
    <w:rsid w:val="004329C2"/>
    <w:rsid w:val="004361F9"/>
    <w:rsid w:val="00443B82"/>
    <w:rsid w:val="00462BF4"/>
    <w:rsid w:val="004775B2"/>
    <w:rsid w:val="004776A2"/>
    <w:rsid w:val="00480B11"/>
    <w:rsid w:val="00480F1E"/>
    <w:rsid w:val="00483D2B"/>
    <w:rsid w:val="00497646"/>
    <w:rsid w:val="004B23D6"/>
    <w:rsid w:val="004B4376"/>
    <w:rsid w:val="004B4E32"/>
    <w:rsid w:val="004B75B7"/>
    <w:rsid w:val="004C68DD"/>
    <w:rsid w:val="004D062B"/>
    <w:rsid w:val="004E0C36"/>
    <w:rsid w:val="004E26BF"/>
    <w:rsid w:val="0051580D"/>
    <w:rsid w:val="0051592F"/>
    <w:rsid w:val="00524593"/>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52CA3"/>
    <w:rsid w:val="00660C48"/>
    <w:rsid w:val="0066153D"/>
    <w:rsid w:val="00667D08"/>
    <w:rsid w:val="00682A65"/>
    <w:rsid w:val="00683F6E"/>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823DE"/>
    <w:rsid w:val="00792342"/>
    <w:rsid w:val="00792B11"/>
    <w:rsid w:val="007934A5"/>
    <w:rsid w:val="007954BB"/>
    <w:rsid w:val="007977A8"/>
    <w:rsid w:val="007A193C"/>
    <w:rsid w:val="007A3BD7"/>
    <w:rsid w:val="007B512A"/>
    <w:rsid w:val="007B7115"/>
    <w:rsid w:val="007B79B7"/>
    <w:rsid w:val="007C0076"/>
    <w:rsid w:val="007C0BD7"/>
    <w:rsid w:val="007C0C2A"/>
    <w:rsid w:val="007C112D"/>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53E7B"/>
    <w:rsid w:val="008626E7"/>
    <w:rsid w:val="008704A3"/>
    <w:rsid w:val="00870EE7"/>
    <w:rsid w:val="00877790"/>
    <w:rsid w:val="00884D72"/>
    <w:rsid w:val="008863B9"/>
    <w:rsid w:val="008A45A6"/>
    <w:rsid w:val="008C7A4F"/>
    <w:rsid w:val="008D2340"/>
    <w:rsid w:val="008D7636"/>
    <w:rsid w:val="008E5A8D"/>
    <w:rsid w:val="008E5EC7"/>
    <w:rsid w:val="008E79F5"/>
    <w:rsid w:val="008F686C"/>
    <w:rsid w:val="00902F00"/>
    <w:rsid w:val="009043EE"/>
    <w:rsid w:val="00905CBB"/>
    <w:rsid w:val="00907701"/>
    <w:rsid w:val="009148DE"/>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67B97"/>
    <w:rsid w:val="00B724C5"/>
    <w:rsid w:val="00B72881"/>
    <w:rsid w:val="00B728AA"/>
    <w:rsid w:val="00B81798"/>
    <w:rsid w:val="00B826F8"/>
    <w:rsid w:val="00B82DC7"/>
    <w:rsid w:val="00B85F79"/>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D59C1"/>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6582"/>
    <w:rsid w:val="00D87D4A"/>
    <w:rsid w:val="00D91350"/>
    <w:rsid w:val="00DA76A0"/>
    <w:rsid w:val="00DB68E1"/>
    <w:rsid w:val="00DC5858"/>
    <w:rsid w:val="00DD36FA"/>
    <w:rsid w:val="00DE3168"/>
    <w:rsid w:val="00DE34CF"/>
    <w:rsid w:val="00DF7529"/>
    <w:rsid w:val="00DF7C86"/>
    <w:rsid w:val="00E00279"/>
    <w:rsid w:val="00E06DBB"/>
    <w:rsid w:val="00E12422"/>
    <w:rsid w:val="00E1307E"/>
    <w:rsid w:val="00E13F3D"/>
    <w:rsid w:val="00E14CF7"/>
    <w:rsid w:val="00E16184"/>
    <w:rsid w:val="00E2280D"/>
    <w:rsid w:val="00E34898"/>
    <w:rsid w:val="00E36E17"/>
    <w:rsid w:val="00E57A7D"/>
    <w:rsid w:val="00E646C8"/>
    <w:rsid w:val="00E66C48"/>
    <w:rsid w:val="00E7505B"/>
    <w:rsid w:val="00E82945"/>
    <w:rsid w:val="00E87FDC"/>
    <w:rsid w:val="00E91B62"/>
    <w:rsid w:val="00EB09B7"/>
    <w:rsid w:val="00EB36EC"/>
    <w:rsid w:val="00EB71AF"/>
    <w:rsid w:val="00EC0C60"/>
    <w:rsid w:val="00EC19D9"/>
    <w:rsid w:val="00EC46B1"/>
    <w:rsid w:val="00EE5935"/>
    <w:rsid w:val="00EE7D7C"/>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74F2B"/>
    <w:rsid w:val="00F777EC"/>
    <w:rsid w:val="00F801FC"/>
    <w:rsid w:val="00F81871"/>
    <w:rsid w:val="00F83E14"/>
    <w:rsid w:val="00F84FE8"/>
    <w:rsid w:val="00F87BFB"/>
    <w:rsid w:val="00F91227"/>
    <w:rsid w:val="00F923CB"/>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BFEC-42D8-44CB-8233-F5762E332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3526</Words>
  <Characters>20103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Ericsson_145_rev</cp:lastModifiedBy>
  <cp:revision>9</cp:revision>
  <cp:lastPrinted>1900-01-01T05:00:00Z</cp:lastPrinted>
  <dcterms:created xsi:type="dcterms:W3CDTF">2021-05-17T16:02:00Z</dcterms:created>
  <dcterms:modified xsi:type="dcterms:W3CDTF">2021-05-21T21:20:00Z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